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5" w:rsidRDefault="002B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-647699</wp:posOffset>
            </wp:positionH>
            <wp:positionV relativeFrom="paragraph">
              <wp:posOffset>114300</wp:posOffset>
            </wp:positionV>
            <wp:extent cx="741997" cy="800193"/>
            <wp:effectExtent l="0" t="0" r="0" b="0"/>
            <wp:wrapSquare wrapText="bothSides" distT="114300" distB="11430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7" cy="80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4175" w:rsidRDefault="002B7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SIMPÓSIO CEARENSE DE ENGENHARIA DE ALIMENTOS - SIMCEALI</w:t>
      </w:r>
    </w:p>
    <w:p w:rsidR="00D04175" w:rsidRDefault="002B7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Desafios da Indústria Alimentícia para Atender os Consumidores do Futuro</w:t>
      </w:r>
    </w:p>
    <w:p w:rsidR="00D04175" w:rsidRDefault="002B7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14 a 18 de outubro de 2019.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INSCRIÇÃO DOS TRABALHOS 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Centro Acadêmico XVI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Gestão Interligados V, por meio da sua Comissão de Ensino TORNA PÚBLICO o presente edital de seleção de trabalhos científicos a serem apresentados no III Simpósio Cearense de Engenharia de Alimentos. Os interessados em </w:t>
      </w:r>
      <w:r>
        <w:rPr>
          <w:rFonts w:ascii="Times New Roman" w:eastAsia="Times New Roman" w:hAnsi="Times New Roman" w:cs="Times New Roman"/>
          <w:sz w:val="24"/>
          <w:szCs w:val="24"/>
        </w:rPr>
        <w:t>inscrever trabalhos científicos deverão seguir as seguintes orientações contidas neste EDITAL.</w:t>
      </w:r>
    </w:p>
    <w:p w:rsidR="00D04175" w:rsidRDefault="00D041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CAPÍTULO I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DAS DISPOSIÇÕES GERAIS </w:t>
      </w:r>
    </w:p>
    <w:p w:rsidR="00D04175" w:rsidRDefault="002B78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1º - A inscrição de trabalhos no III Simpósio Cearense de Engenharia de Alimentos se dará exclusivamente por meio da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scrição no Evento e Envio do Trabalho Completo. Não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aceitos revisão bibliográfica e relatos de experiência. As normas para apresentação de trabalhos estão disponíveis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ANEXO 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SIMCEALI_Normas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CAPÍTULO II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 SUBMISSÃO DOS TRABALHOS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2º - 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nvio do arquivo referente ao trabalho deverá ser feito exclusivamente no site do evento. Não serão aceitos inscrições de trabalhos por e-mail ou envio postal. O trabalho deverá ocupar no mínimo seis e no máximo oito laudas, conforme o modelo disponível 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do evento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www.simceali.com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página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SUBMISSÃO DE TRABALHOS.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NOTA: Os autores poderão optar por submeter trabalhos em língua vernácula (Português Brasileiro)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ou Inglês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3º - A Ficha de Inscrição de Trabalho estará disponível no site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www.simceal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deverá ser preenchida online. Nela deverá constar título completo definitivo do trabalho e nome dos autores (limitados ao máximo de cinco, contando com o orientador), conforme as instruções.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autor responsável pela apresentação do Trabalho deverá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estar inscrito.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NOTA: Não serão aceitos trabalhos que excedam o limite de autores, nem inclusões e/ou exclusões dos mesmos.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Art. 4º - A responsabilidade pelos dados inscritos e enviados é dos autores, sendo vedado à comissão organizadora o acesso dos arqu</w:t>
      </w:r>
      <w:r>
        <w:rPr>
          <w:rFonts w:ascii="Times New Roman" w:eastAsia="Times New Roman" w:hAnsi="Times New Roman" w:cs="Times New Roman"/>
          <w:sz w:val="24"/>
          <w:szCs w:val="24"/>
        </w:rPr>
        <w:t>ivos eletrônicos para quaisquer alterações dos mesmos, ainda que mediante a autorização dos autores.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5º - Período de submissão de Trabalhos: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12 de julho </w:t>
      </w:r>
      <w:r w:rsidR="00964731">
        <w:rPr>
          <w:rFonts w:ascii="Times New Roman" w:eastAsia="Times New Roman" w:hAnsi="Times New Roman" w:cs="Times New Roman"/>
          <w:b/>
          <w:sz w:val="24"/>
          <w:szCs w:val="24"/>
        </w:rPr>
        <w:t>a 07 de outubro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2019. </w:t>
      </w:r>
      <w:r>
        <w:rPr>
          <w:rFonts w:ascii="Times New Roman" w:eastAsia="Times New Roman" w:hAnsi="Times New Roman" w:cs="Times New Roman"/>
          <w:sz w:val="24"/>
          <w:szCs w:val="24"/>
        </w:rPr>
        <w:t>Todos os trabalhos aceitos serão apresentados de forma Oral com a presen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ça do Banner Digital nos dias do evento, indicados com antecedência no site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www.simceali.com</w:t>
      </w:r>
      <w:r>
        <w:rPr>
          <w:rFonts w:ascii="Times New Roman" w:eastAsia="Times New Roman" w:hAnsi="Times New Roman" w:cs="Times New Roman"/>
          <w:sz w:val="24"/>
          <w:szCs w:val="24"/>
        </w:rPr>
        <w:t>. Será permitida a submissão 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até 2 Trabalhos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por inscrição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NOTA: A submissão duplicada de trabalhos acarreta em rejeição do mesmo pelo sistema.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Art. 6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As apresentações ocorrerão em grupo no período de 1 hora, sendo obrigatório a permanência de pelo menos um dos autores nesse período na sala respectiva a do seu trabalho. Mesmo com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permanência de mais de um dos autores na sala de apresentação, a apres</w:t>
      </w:r>
      <w:r>
        <w:rPr>
          <w:rFonts w:ascii="Times New Roman" w:eastAsia="Times New Roman" w:hAnsi="Times New Roman" w:cs="Times New Roman"/>
          <w:sz w:val="24"/>
          <w:szCs w:val="24"/>
        </w:rPr>
        <w:t>entação dos trabalhos deverá ser por um autor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As apresentações ocorrerão dentro de 15 minutos, onde os autores terão no máximo de 10 minutos para apresentação, seguido de, 5 minutos para Perguntas e Respostas.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NOTA: A banca avaliadora consistirá de um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fessor  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dois mestrandos/doutorandos da área em que o seu trabalho se encaixa.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7º - O Trabalho deve conter dados quantitativos, seus resultados não devem ser publicados antes do evento, devendo ainda serem substanciais. Os autores não devem dividir r</w:t>
      </w:r>
      <w:r>
        <w:rPr>
          <w:rFonts w:ascii="Times New Roman" w:eastAsia="Times New Roman" w:hAnsi="Times New Roman" w:cs="Times New Roman"/>
          <w:sz w:val="24"/>
          <w:szCs w:val="24"/>
        </w:rPr>
        <w:t>esultados de um estudo em diversos Trabalhos com informações mínimas. Não serão aceitos os Trabalhos que declaram que os resultados apresentados deverão ser discutidos posteriormente.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8º - Os Trabalhos para apresentação deverão seguir as orientações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SIMCEALI_Banner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abordando os pontos demonstrados a seguir: </w:t>
      </w:r>
    </w:p>
    <w:p w:rsidR="00D04175" w:rsidRDefault="002B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Inovações nos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rocessos industriais, logísticos e de controle na ciência e tecnologia de produtos de origem animal e/ou vegetal: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higiene e segurança alimentar, pontos críticos de controle, programa de gerenciamento (psicologia organizacional, economia e administração), controle de qualidade, layout industrial e desenvolvimento para a indústria de alimentos, manuseamento das matéria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primas, beneficiamento de grãos e frutos, alterações bioquímicas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abate ou pós colheita.</w:t>
      </w:r>
    </w:p>
    <w:p w:rsidR="00D04175" w:rsidRDefault="002B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Bioquímica e biotecnologia na sua utilização nos alimentos: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desenvolvimento enzimático e/ou microbiano de produtos e/ou processos de interesse alimentar, alimentos e microrganismos geneticamente modificados, alterações bioquímicas em alimentos, nanotecnologia, química de alimentos.</w:t>
      </w:r>
    </w:p>
    <w:p w:rsidR="00D04175" w:rsidRDefault="002B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Novas técnicas de produção e sust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entabilidade no ramo alimentar: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desenvolvimento de produtos, processamento de alimentos, biofilmes, estabilidade e vida de prateleira, métodos e técnicas de conservação de alimentos (ultrassom, campos elétricos pulsados,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microondas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etc.), inovação em emba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lagens para produtos, epistemologia alimentar (relação alimento consumidor), desperdícios, programas de descarte de resíduos, engenharia ambiental (bioenergia e biomassa, etc.) </w:t>
      </w:r>
    </w:p>
    <w:p w:rsidR="00D04175" w:rsidRDefault="002B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Análises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quantitativas e qualitativas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alimentos: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formulação de produtos,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iências sensoriais, caracterização química e físico-química de alimentos, composição centesimal,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bromatologia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quantificação de compostos em alimentos, </w:t>
      </w:r>
      <w:r>
        <w:rPr>
          <w:rFonts w:ascii="Times New Roman" w:eastAsia="Times New Roman" w:hAnsi="Times New Roman" w:cs="Times New Roman"/>
          <w:sz w:val="24"/>
          <w:szCs w:val="24"/>
        </w:rPr>
        <w:t>análise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antioxidantes, espectrofotométricas, métodos não destrutivos de análise de alimentos, microbi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ologia de alimentos.</w:t>
      </w:r>
    </w:p>
    <w:p w:rsidR="00D04175" w:rsidRDefault="002B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Qualidade e bem-estar no ramo de alimentos: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alimentos funcionais, alimentos transgênicos,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biotransformação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indústria de alimentos (vinícola, cervejeira, cachaça, frutas fermentadas, produtos cárneos fermentados, lacticínios, etc.),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gastronomia molecular, aditivos alimentares, restrições alimentares (alergênicos, dietas parental e/ou enteral).</w:t>
      </w:r>
    </w:p>
    <w:p w:rsidR="00D04175" w:rsidRDefault="00D041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175" w:rsidRDefault="002B78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9º – Formatação: Devem seguir as especificações contidas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SIMCEALI_Normas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10º – Revisão dos Trabalhos: Os Trabalhos se</w:t>
      </w:r>
      <w:r>
        <w:rPr>
          <w:rFonts w:ascii="Times New Roman" w:eastAsia="Times New Roman" w:hAnsi="Times New Roman" w:cs="Times New Roman"/>
          <w:sz w:val="24"/>
          <w:szCs w:val="24"/>
        </w:rPr>
        <w:t>rão enviados para o Comitê de Ensino para revisão e considerações. O Comitê de Ensino reserva o direito de recusar. O resultado dos trabalhos será informado via e-mail de recusa/correção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durante o período de submissão dos mesmos,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lembrando que a data máxim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 envio para submissão é </w:t>
      </w:r>
      <w:r w:rsidR="00964731">
        <w:rPr>
          <w:rFonts w:ascii="Times New Roman" w:eastAsia="Times New Roman" w:hAnsi="Times New Roman" w:cs="Times New Roman"/>
          <w:b/>
          <w:sz w:val="24"/>
          <w:szCs w:val="24"/>
        </w:rPr>
        <w:t>07 de outubro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2019. </w:t>
      </w:r>
      <w:r>
        <w:rPr>
          <w:rFonts w:ascii="Times New Roman" w:eastAsia="Times New Roman" w:hAnsi="Times New Roman" w:cs="Times New Roman"/>
          <w:sz w:val="24"/>
          <w:szCs w:val="24"/>
        </w:rPr>
        <w:t>Cada submissão será avaliada preliminarmente usando os seguintes critérios:</w:t>
      </w:r>
    </w:p>
    <w:p w:rsidR="00D04175" w:rsidRDefault="002B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Criatividade e conteúdo original;</w:t>
      </w:r>
    </w:p>
    <w:p w:rsidR="00D04175" w:rsidRDefault="002B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Mérito científico;</w:t>
      </w:r>
    </w:p>
    <w:p w:rsidR="00D04175" w:rsidRDefault="002B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Relevância;</w:t>
      </w:r>
    </w:p>
    <w:p w:rsidR="00D04175" w:rsidRDefault="002B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Aplicação prática;</w:t>
      </w:r>
    </w:p>
    <w:p w:rsidR="00D04175" w:rsidRDefault="002B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Clareza e organização da metodologia, resultados, conclusões e referências.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Todos os trabalhos receberão notas para cada item avaliado (que poderão ter pesos diferenciados).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NOTA: Os Trabalhos e apresentações não devem ser de natureza comercial e os autore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devem evitar o uso excessivo de nomes comerciais de produtos e empresas.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Art. 11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O prazo final para resposta do parecer da Comissão será até às </w:t>
      </w:r>
      <w:r w:rsidR="0096473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23h 59min do dia 11 de outubro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 2019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podendo ser disponibilizado uma listagem parcial dos trabalhos ac</w:t>
      </w:r>
      <w:r w:rsidR="00964731">
        <w:rPr>
          <w:rFonts w:ascii="Times New Roman" w:eastAsia="Times New Roman" w:hAnsi="Times New Roman" w:cs="Times New Roman"/>
          <w:sz w:val="24"/>
          <w:szCs w:val="24"/>
          <w:highlight w:val="white"/>
        </w:rPr>
        <w:t>eitos até o dia 04 de outubro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2019 no site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www.simceali.com.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12 - A partir do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 de outubro de 2019</w:t>
      </w:r>
      <w:r>
        <w:rPr>
          <w:rFonts w:ascii="Times New Roman" w:eastAsia="Times New Roman" w:hAnsi="Times New Roman" w:cs="Times New Roman"/>
          <w:sz w:val="24"/>
          <w:szCs w:val="24"/>
        </w:rPr>
        <w:t>, os autores deverão consultar no site os horários das Áreas Técnicas para sua apresentação.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13 - Cada trabalho científico apresentado recebe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 um certificado, constando os nomes de todos os autores. Para o recebimento do certificado relativo ao trabalho será obrigatória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mesmo. A emissão será via online, diretamente no site, após o período de encerramento do simpósio.</w:t>
      </w:r>
    </w:p>
    <w:p w:rsidR="00D04175" w:rsidRDefault="00D041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CAPÍTULO III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DAS DISPOSIÇÕES FINAIS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14 – A inscrição implica o reconhecimento e a aceitação, pelo proponente, das condições totais previstas neste Edital.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15 – A Comissão de Ensino do III Congresso Nacional de Engenharia de Alimentos não cobrirá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eventuais gastos do proponente com transporte, alimentação e hospedagem.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16 – As disposições e instruções contidas no formulário de Inscrição e nas normas para preparação de Trabalhos constituem normas que passam a integrar o presente Edital.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– Incorporar-se-ão a este Edital, para todos os efeitos, quaisquer editais complementares ou avisos oficiais que vierem a ser publicados pela Comissão de Ensino deste Simpósio, sujeitos os mesmos a modificações. </w:t>
      </w:r>
    </w:p>
    <w:p w:rsidR="00D04175" w:rsidRDefault="002B78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18 – Maiores esclarecimentos atravé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simcealiufc@gmail.com</w:t>
      </w:r>
    </w:p>
    <w:p w:rsidR="00D04175" w:rsidRDefault="002B78F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Parágrafo Único – Todas as informações adicionais podem ser encontradas no site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www.simceali.com.</w:t>
      </w:r>
    </w:p>
    <w:p w:rsidR="00D04175" w:rsidRDefault="009647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Fortaleza, 01 de outubro</w:t>
      </w:r>
      <w:bookmarkStart w:id="0" w:name="_GoBack"/>
      <w:bookmarkEnd w:id="0"/>
      <w:r w:rsidR="002B78F1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D04175" w:rsidRDefault="00D04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175" w:rsidRDefault="00D04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731" w:rsidRDefault="00964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175" w:rsidRDefault="00D04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175" w:rsidRDefault="00D04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175" w:rsidRDefault="002B7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Fernando Eugênio Teixeira Cunha                         Andrea Cardoso de Aquino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-361949</wp:posOffset>
            </wp:positionH>
            <wp:positionV relativeFrom="paragraph">
              <wp:posOffset>114300</wp:posOffset>
            </wp:positionV>
            <wp:extent cx="2937293" cy="627062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7293" cy="627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2930525</wp:posOffset>
            </wp:positionH>
            <wp:positionV relativeFrom="paragraph">
              <wp:posOffset>200025</wp:posOffset>
            </wp:positionV>
            <wp:extent cx="2743200" cy="459105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4175" w:rsidRDefault="002B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Coordenador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Adjunto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Ensino                 Presidente de Honra da Banca Avaliadora</w:t>
      </w:r>
    </w:p>
    <w:p w:rsidR="00D04175" w:rsidRDefault="002B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João Pedro da Silva Nascimento      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1304925</wp:posOffset>
            </wp:positionH>
            <wp:positionV relativeFrom="paragraph">
              <wp:posOffset>180975</wp:posOffset>
            </wp:positionV>
            <wp:extent cx="3400425" cy="933450"/>
            <wp:effectExtent l="0" t="0" r="0" b="0"/>
            <wp:wrapTopAndBottom distT="0" dist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4175" w:rsidRDefault="002B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 Geral III SIMCEALI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04175" w:rsidRDefault="00D041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175" w:rsidRDefault="002B78F1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1276" cy="850972"/>
            <wp:effectExtent l="0" t="0" r="0" b="0"/>
            <wp:docPr id="1" name="image3.png" descr="C:\Users\Sâmela\Desktop\capture-20151028-112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âmela\Desktop\capture-20151028-1121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276" cy="850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5528" cy="860131"/>
            <wp:effectExtent l="0" t="0" r="0" b="0"/>
            <wp:docPr id="3" name="image2.jpg" descr="C:\Users\Sâmela\Desktop\20151115125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âmela\Desktop\2015111512582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528" cy="860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320075" cy="757645"/>
            <wp:effectExtent l="0" t="0" r="0" b="0"/>
            <wp:docPr id="2" name="image6.png" descr="https://scontent.frec10-1.fna.fbcdn.net/v/t35.0-12/s2048x2048/29994261_1522449404547108_1038265207_o.png?_nc_cat=0&amp;oh=0a4f53a47467f1cac072a587d9c415a3&amp;oe=5AC52B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scontent.frec10-1.fna.fbcdn.net/v/t35.0-12/s2048x2048/29994261_1522449404547108_1038265207_o.png?_nc_cat=0&amp;oh=0a4f53a47467f1cac072a587d9c415a3&amp;oe=5AC52B64"/>
                    <pic:cNvPicPr preferRelativeResize="0"/>
                  </pic:nvPicPr>
                  <pic:blipFill>
                    <a:blip r:embed="rId13"/>
                    <a:srcRect l="9070" r="8285"/>
                    <a:stretch>
                      <a:fillRect/>
                    </a:stretch>
                  </pic:blipFill>
                  <pic:spPr>
                    <a:xfrm>
                      <a:off x="0" y="0"/>
                      <a:ext cx="1320075" cy="757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04175" w:rsidRDefault="00D04175">
      <w:pPr>
        <w:spacing w:after="0" w:line="240" w:lineRule="auto"/>
      </w:pPr>
    </w:p>
    <w:sectPr w:rsidR="00D04175">
      <w:footerReference w:type="default" r:id="rId14"/>
      <w:pgSz w:w="11906" w:h="16838"/>
      <w:pgMar w:top="1135" w:right="1274" w:bottom="212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F1" w:rsidRDefault="002B78F1">
      <w:pPr>
        <w:spacing w:after="0" w:line="240" w:lineRule="auto"/>
      </w:pPr>
      <w:r>
        <w:separator/>
      </w:r>
    </w:p>
  </w:endnote>
  <w:endnote w:type="continuationSeparator" w:id="0">
    <w:p w:rsidR="002B78F1" w:rsidRDefault="002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75" w:rsidRDefault="002B7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Centro Acadêmico XVI de </w:t>
    </w:r>
    <w:proofErr w:type="gramStart"/>
    <w:r>
      <w:rPr>
        <w:rFonts w:ascii="Arial" w:eastAsia="Arial" w:hAnsi="Arial" w:cs="Arial"/>
        <w:color w:val="000000"/>
        <w:sz w:val="20"/>
        <w:szCs w:val="20"/>
      </w:rPr>
      <w:t>Outubro</w:t>
    </w:r>
    <w:proofErr w:type="gramEnd"/>
  </w:p>
  <w:p w:rsidR="00D04175" w:rsidRDefault="002B7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Avenida Mister Hull, 2977, Campus do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Pici</w:t>
    </w:r>
    <w:proofErr w:type="spellEnd"/>
    <w:r>
      <w:rPr>
        <w:rFonts w:ascii="Arial" w:eastAsia="Arial" w:hAnsi="Arial" w:cs="Arial"/>
        <w:color w:val="000000"/>
        <w:sz w:val="20"/>
        <w:szCs w:val="20"/>
      </w:rPr>
      <w:t>, Fortaleza – CE.</w:t>
    </w:r>
  </w:p>
  <w:p w:rsidR="00D04175" w:rsidRDefault="002B7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E-mail: </w:t>
    </w:r>
    <w:hyperlink r:id="rId1">
      <w:r>
        <w:rPr>
          <w:rFonts w:ascii="Arial" w:eastAsia="Arial" w:hAnsi="Arial" w:cs="Arial"/>
          <w:color w:val="000000"/>
          <w:sz w:val="20"/>
          <w:szCs w:val="20"/>
        </w:rPr>
        <w:t>caalimentosufc@gmail.com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F1" w:rsidRDefault="002B78F1">
      <w:pPr>
        <w:spacing w:after="0" w:line="240" w:lineRule="auto"/>
      </w:pPr>
      <w:r>
        <w:separator/>
      </w:r>
    </w:p>
  </w:footnote>
  <w:footnote w:type="continuationSeparator" w:id="0">
    <w:p w:rsidR="002B78F1" w:rsidRDefault="002B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E4E"/>
    <w:multiLevelType w:val="multilevel"/>
    <w:tmpl w:val="77B284A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7A012D"/>
    <w:multiLevelType w:val="multilevel"/>
    <w:tmpl w:val="9E14DAF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5"/>
    <w:rsid w:val="002B78F1"/>
    <w:rsid w:val="00964731"/>
    <w:rsid w:val="00D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CF550-9E41-4E87-82FD-C29A749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alimentosuf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1308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caalimentosprojetos@outlook.com</cp:lastModifiedBy>
  <cp:revision>2</cp:revision>
  <dcterms:created xsi:type="dcterms:W3CDTF">2019-10-01T13:13:00Z</dcterms:created>
  <dcterms:modified xsi:type="dcterms:W3CDTF">2019-10-01T13:16:00Z</dcterms:modified>
</cp:coreProperties>
</file>